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87" w:rsidRDefault="00A96A87" w:rsidP="00813E6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96A87" w:rsidRDefault="00A96A87" w:rsidP="00813E6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AFA76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6360" cy="1356360"/>
            <wp:effectExtent l="0" t="0" r="0" b="0"/>
            <wp:wrapThrough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hrough>
            <wp:docPr id="5" name="Picture 5" descr="Piggy Bank and Money illustration isolated Finance Logo Vector Icon Illustration in Flat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ggy Bank and Money illustration isolated Finance Logo Vector Icon Illustration in Flat Sty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E67" w:rsidRPr="0071732C" w:rsidRDefault="00813E67" w:rsidP="00813E67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r w:rsidRPr="0071732C">
        <w:rPr>
          <w:rFonts w:ascii="Times New Roman" w:hAnsi="Times New Roman" w:cs="Times New Roman"/>
          <w:b/>
        </w:rPr>
        <w:t>SCHOLARSHIP LIST</w:t>
      </w:r>
    </w:p>
    <w:p w:rsidR="00813E67" w:rsidRPr="0071732C" w:rsidRDefault="00813E67" w:rsidP="00813E6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</w:t>
      </w:r>
      <w:r w:rsidRPr="0071732C">
        <w:rPr>
          <w:rFonts w:ascii="Times New Roman" w:hAnsi="Times New Roman" w:cs="Times New Roman"/>
          <w:b/>
        </w:rPr>
        <w:t xml:space="preserve"> 2024</w:t>
      </w:r>
    </w:p>
    <w:p w:rsidR="00813E67" w:rsidRPr="0071732C" w:rsidRDefault="00813E67" w:rsidP="00813E67">
      <w:pPr>
        <w:pStyle w:val="NoSpacing"/>
        <w:jc w:val="center"/>
        <w:rPr>
          <w:rFonts w:ascii="Times New Roman" w:hAnsi="Times New Roman" w:cs="Times New Roman"/>
          <w:b/>
        </w:rPr>
      </w:pPr>
      <w:r w:rsidRPr="0071732C">
        <w:rPr>
          <w:rFonts w:ascii="Times New Roman" w:hAnsi="Times New Roman" w:cs="Times New Roman"/>
          <w:b/>
        </w:rPr>
        <w:t>Please pay attention to the deadlines!</w:t>
      </w:r>
    </w:p>
    <w:p w:rsidR="00813E67" w:rsidRPr="0071732C" w:rsidRDefault="00813E67" w:rsidP="00813E67">
      <w:pPr>
        <w:pStyle w:val="NoSpacing"/>
        <w:jc w:val="center"/>
        <w:rPr>
          <w:rFonts w:ascii="Times New Roman" w:hAnsi="Times New Roman" w:cs="Times New Roman"/>
          <w:b/>
        </w:rPr>
      </w:pPr>
      <w:r w:rsidRPr="0071732C">
        <w:rPr>
          <w:rFonts w:ascii="Times New Roman" w:hAnsi="Times New Roman" w:cs="Times New Roman"/>
          <w:b/>
        </w:rPr>
        <w:t>Applications available in Guidance or online, if specified.</w:t>
      </w:r>
      <w:r w:rsidR="0085698B" w:rsidRPr="0085698B">
        <w:rPr>
          <w:noProof/>
        </w:rPr>
        <w:t xml:space="preserve"> </w:t>
      </w:r>
    </w:p>
    <w:p w:rsidR="00813E67" w:rsidRPr="0071732C" w:rsidRDefault="00813E67" w:rsidP="00813E67">
      <w:pPr>
        <w:pStyle w:val="NoSpacing"/>
        <w:jc w:val="center"/>
        <w:rPr>
          <w:rFonts w:ascii="Times New Roman" w:hAnsi="Times New Roman" w:cs="Times New Roman"/>
          <w:b/>
        </w:rPr>
      </w:pPr>
      <w:r w:rsidRPr="0071732C">
        <w:rPr>
          <w:rFonts w:ascii="Times New Roman" w:hAnsi="Times New Roman" w:cs="Times New Roman"/>
          <w:b/>
        </w:rPr>
        <w:t>Also posted on Google Classroom for students.</w:t>
      </w:r>
    </w:p>
    <w:p w:rsidR="00813E67" w:rsidRDefault="00813E67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</w:p>
    <w:p w:rsidR="00813E67" w:rsidRDefault="00813E67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</w:p>
    <w:p w:rsidR="00A96A87" w:rsidRDefault="00A96A87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</w:p>
    <w:p w:rsidR="005220EB" w:rsidRPr="003D0B54" w:rsidRDefault="00813E67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Rowe and Whitlock Computer Science, Mathematics and Engineering Senior Scholarship</w:t>
      </w:r>
      <w:r w:rsidRPr="00DA02F4">
        <w:rPr>
          <w:rFonts w:ascii="Helvetica" w:hAnsi="Helvetica" w:cs="Helvetica"/>
          <w:sz w:val="20"/>
          <w:szCs w:val="20"/>
        </w:rPr>
        <w:br/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AMOUNT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: $2,500 up to (2)</w:t>
      </w:r>
      <w:r w:rsidRPr="00DA02F4">
        <w:rPr>
          <w:rFonts w:ascii="Helvetica" w:hAnsi="Helvetica" w:cs="Helvetica"/>
          <w:sz w:val="20"/>
          <w:szCs w:val="20"/>
        </w:rPr>
        <w:br/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QUALIFICATIONS: 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Must be graduating from Cincinnatus Central School; intend to pursue post-secondary education at a 2 or 4-year university; plan to pursue a degree in Information Technology, Mathematics, Science or Engineering</w:t>
      </w:r>
      <w:r w:rsidRPr="00DA02F4">
        <w:rPr>
          <w:rFonts w:ascii="Helvetica" w:hAnsi="Helvetica" w:cs="Helvetica"/>
          <w:sz w:val="20"/>
          <w:szCs w:val="20"/>
        </w:rPr>
        <w:br/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DEADLINE: June 1, 2024 to the Guidance Office (Application and Essay)</w:t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Available on Google Classroom/Guidance.</w:t>
      </w:r>
    </w:p>
    <w:p w:rsidR="00380B5E" w:rsidRPr="00DA02F4" w:rsidRDefault="00380B5E" w:rsidP="00380B5E">
      <w:pPr>
        <w:pStyle w:val="NoSpacing"/>
        <w:rPr>
          <w:rFonts w:ascii="Helvetica" w:hAnsi="Helvetica" w:cs="Helvetica"/>
          <w:sz w:val="20"/>
          <w:szCs w:val="20"/>
        </w:rPr>
      </w:pP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Flavor of the Month</w:t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Scholarship</w:t>
      </w:r>
      <w:r w:rsidRPr="00DA02F4">
        <w:rPr>
          <w:rFonts w:ascii="Helvetica" w:hAnsi="Helvetica" w:cs="Helvetica"/>
          <w:sz w:val="20"/>
          <w:szCs w:val="20"/>
        </w:rPr>
        <w:br/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AMOUNT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: $2,500 up to (2)</w:t>
      </w:r>
      <w:r w:rsidRPr="00DA02F4">
        <w:rPr>
          <w:rFonts w:ascii="Helvetica" w:hAnsi="Helvetica" w:cs="Helvetica"/>
          <w:sz w:val="20"/>
          <w:szCs w:val="20"/>
        </w:rPr>
        <w:br/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QUALIFICATIONS: </w:t>
      </w:r>
      <w:r w:rsidRPr="00DA02F4">
        <w:rPr>
          <w:rFonts w:ascii="Helvetica" w:hAnsi="Helvetica" w:cs="Helvetica"/>
          <w:sz w:val="20"/>
          <w:szCs w:val="20"/>
        </w:rPr>
        <w:t>Are you simple and sweet like vanilla, classic yet unpredictable like chocolate chip, or a little nutty like pistachio? Whatever the flavor or reasons may be, we want to know what ice cream flavor best reflects your personality and why.</w:t>
      </w:r>
      <w:r w:rsidRPr="00DA02F4">
        <w:rPr>
          <w:rFonts w:ascii="Helvetica" w:hAnsi="Helvetica" w:cs="Helvetica"/>
          <w:sz w:val="20"/>
          <w:szCs w:val="20"/>
        </w:rPr>
        <w:t xml:space="preserve"> </w:t>
      </w:r>
      <w:r w:rsidRPr="00DA02F4">
        <w:rPr>
          <w:rFonts w:ascii="Helvetica" w:hAnsi="Helvetica" w:cs="Helvetica"/>
          <w:sz w:val="20"/>
          <w:szCs w:val="20"/>
        </w:rPr>
        <w:t>July is National Ice Cream Month, and we need a little help picking out a "Flavor of the Month" for our famous ice cream scholarship. Tell us all about your ice cream flavor</w:t>
      </w:r>
      <w:r w:rsidRPr="00DA02F4">
        <w:rPr>
          <w:rFonts w:ascii="Helvetica" w:hAnsi="Helvetica" w:cs="Helvetica"/>
          <w:sz w:val="20"/>
          <w:szCs w:val="20"/>
        </w:rPr>
        <w:t xml:space="preserve"> in 250 words or less. </w:t>
      </w:r>
    </w:p>
    <w:p w:rsidR="00A96A87" w:rsidRDefault="00380B5E" w:rsidP="00380B5E">
      <w:pPr>
        <w:pStyle w:val="NoSpacing"/>
        <w:rPr>
          <w:rFonts w:ascii="Helvetica" w:hAnsi="Helvetica" w:cs="Helvetica"/>
          <w:sz w:val="20"/>
          <w:szCs w:val="20"/>
          <w:shd w:val="clear" w:color="auto" w:fill="FFFFFF"/>
        </w:rPr>
      </w:pP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DEADLINE: J</w:t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uly 31</w:t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, 2024</w:t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 xml:space="preserve">Enter online at </w:t>
      </w:r>
      <w:hyperlink r:id="rId5" w:history="1">
        <w:r w:rsidR="00A96A87" w:rsidRPr="00701CC4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www.unigo.com/our-scholarships</w:t>
        </w:r>
      </w:hyperlink>
    </w:p>
    <w:p w:rsidR="00DA02F4" w:rsidRPr="00A96A87" w:rsidRDefault="00380B5E" w:rsidP="00380B5E">
      <w:pPr>
        <w:pStyle w:val="NoSpacing"/>
        <w:rPr>
          <w:rFonts w:ascii="Helvetica" w:hAnsi="Helvetica" w:cs="Helvetica"/>
          <w:sz w:val="20"/>
          <w:szCs w:val="20"/>
          <w:shd w:val="clear" w:color="auto" w:fill="FFFFFF"/>
        </w:rPr>
      </w:pP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</w:p>
    <w:p w:rsidR="003D0B54" w:rsidRDefault="00DA02F4" w:rsidP="00380B5E">
      <w:pPr>
        <w:pStyle w:val="NoSpacing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AFSA 2</w:t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  <w:vertAlign w:val="superscript"/>
        </w:rPr>
        <w:t>nd</w:t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Chance Scholarship </w:t>
      </w:r>
      <w:r w:rsidRPr="00DA02F4">
        <w:rPr>
          <w:rFonts w:ascii="Helvetica" w:hAnsi="Helvetica" w:cs="Helvetica"/>
          <w:sz w:val="20"/>
          <w:szCs w:val="20"/>
        </w:rPr>
        <w:br/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AMOUNT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: $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1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,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0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00 up to (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5</w:t>
      </w:r>
      <w:r w:rsidRPr="00DA02F4">
        <w:rPr>
          <w:rFonts w:ascii="Helvetica" w:hAnsi="Helvetica" w:cs="Helvetica"/>
          <w:sz w:val="20"/>
          <w:szCs w:val="20"/>
          <w:shd w:val="clear" w:color="auto" w:fill="FFFFFF"/>
        </w:rPr>
        <w:t>)</w:t>
      </w:r>
      <w:r w:rsidRPr="00DA02F4">
        <w:rPr>
          <w:rFonts w:ascii="Helvetica" w:hAnsi="Helvetica" w:cs="Helvetica"/>
          <w:sz w:val="20"/>
          <w:szCs w:val="20"/>
        </w:rPr>
        <w:br/>
      </w: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QUALIFICATIONS: </w:t>
      </w:r>
      <w:r>
        <w:rPr>
          <w:rFonts w:ascii="Helvetica" w:hAnsi="Helvetica" w:cs="Helvetica"/>
          <w:sz w:val="20"/>
          <w:szCs w:val="20"/>
        </w:rPr>
        <w:t>High School Diploma, GED or equivalent; must enroll or already be enrolled for the Fall 2024 or Spring 2025 session; must submit a completed entry</w:t>
      </w:r>
      <w:r w:rsidR="003D0B54">
        <w:rPr>
          <w:rFonts w:ascii="Helvetica" w:hAnsi="Helvetica" w:cs="Helvetica"/>
          <w:sz w:val="20"/>
          <w:szCs w:val="20"/>
        </w:rPr>
        <w:t xml:space="preserve"> form with all required information along with an 8-questionn exam</w:t>
      </w:r>
      <w:r w:rsidRPr="00DA02F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; only one entry is allowed. </w:t>
      </w:r>
      <w:r w:rsidR="003D0B5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Full contest rules online. </w:t>
      </w:r>
    </w:p>
    <w:p w:rsidR="00DA02F4" w:rsidRDefault="00DA02F4" w:rsidP="00380B5E">
      <w:pPr>
        <w:pStyle w:val="NoSpacing"/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</w:pPr>
      <w:r w:rsidRPr="00DA02F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DEADLINE: </w:t>
      </w:r>
      <w:r w:rsidRPr="00DA02F4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August 31, 2024</w:t>
      </w:r>
      <w:r w:rsidR="003D0B54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</w:t>
      </w:r>
      <w:r w:rsidR="003D0B54" w:rsidRPr="00DA02F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apply online at </w:t>
      </w:r>
      <w:hyperlink r:id="rId6" w:history="1">
        <w:r w:rsidR="003D0B54" w:rsidRPr="00DA02F4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www.afsascholarship.org</w:t>
        </w:r>
      </w:hyperlink>
    </w:p>
    <w:bookmarkEnd w:id="0"/>
    <w:p w:rsidR="00DA02F4" w:rsidRDefault="00DA02F4" w:rsidP="00380B5E">
      <w:pPr>
        <w:pStyle w:val="NoSpacing"/>
        <w:rPr>
          <w:rFonts w:ascii="Helvetica" w:hAnsi="Helvetica" w:cs="Helvetica"/>
          <w:sz w:val="20"/>
          <w:szCs w:val="20"/>
        </w:rPr>
      </w:pPr>
    </w:p>
    <w:p w:rsidR="00DA02F4" w:rsidRPr="00DA02F4" w:rsidRDefault="00DA02F4" w:rsidP="00380B5E">
      <w:pPr>
        <w:pStyle w:val="NoSpacing"/>
        <w:rPr>
          <w:rFonts w:ascii="Helvetica" w:hAnsi="Helvetica" w:cs="Helvetica"/>
          <w:sz w:val="20"/>
          <w:szCs w:val="20"/>
        </w:rPr>
      </w:pPr>
    </w:p>
    <w:sectPr w:rsidR="00DA02F4" w:rsidRPr="00DA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67"/>
    <w:rsid w:val="00380B5E"/>
    <w:rsid w:val="003D0B54"/>
    <w:rsid w:val="005220EB"/>
    <w:rsid w:val="00813E67"/>
    <w:rsid w:val="0085698B"/>
    <w:rsid w:val="00A96A87"/>
    <w:rsid w:val="00B61D33"/>
    <w:rsid w:val="00D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8716"/>
  <w15:chartTrackingRefBased/>
  <w15:docId w15:val="{D8C15AA9-D802-43A7-9256-25D37E6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E6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2F4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sascholarship.org" TargetMode="External"/><Relationship Id="rId5" Type="http://schemas.openxmlformats.org/officeDocument/2006/relationships/hyperlink" Target="http://www.unigo.com/our-scholarshi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Nenette Greeno</dc:creator>
  <cp:keywords/>
  <dc:description/>
  <cp:lastModifiedBy>Nenette Greeno</cp:lastModifiedBy>
  <cp:revision>2</cp:revision>
  <dcterms:created xsi:type="dcterms:W3CDTF">2024-05-16T12:19:00Z</dcterms:created>
  <dcterms:modified xsi:type="dcterms:W3CDTF">2024-05-16T13:44:00Z</dcterms:modified>
</cp:coreProperties>
</file>